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Zwischen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(nachfolgend: „Auftraggeber“)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und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(nachfolgend: „Designer“)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wird folgender Werk- und Nutzungsvertrag geschlossen: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pStyle w:val="berschrift2"/>
      </w:pPr>
      <w:r>
        <w:t>1</w:t>
      </w:r>
      <w:r>
        <w:tab/>
        <w:t>Vertragsgegenstand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beauftragt den Designer mit der Entwicklung des Designs für folgende Produ</w:t>
      </w:r>
      <w:r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te: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ab/>
        <w:t>Leistungsumfang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2.1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>Der Auftrag umfasst folgende Arbeiten: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i/>
          <w:sz w:val="20"/>
        </w:rPr>
      </w:pP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Beschaffung von Informationen über Markt und Wettbewerbsprodukte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Grobentwürfe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Maßstabentwürfe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Proportionsmodell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Aufrisszeichnungen</w:t>
      </w:r>
      <w:proofErr w:type="spellEnd"/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Konstruktionszeichnungen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Einzelteilzeichnungen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Funktionsmodell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Versuche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Prototyp</w:t>
      </w:r>
    </w:p>
    <w:p w:rsidR="003457F1" w:rsidRDefault="007F4930">
      <w:pPr>
        <w:numPr>
          <w:ilvl w:val="0"/>
          <w:numId w:val="30"/>
        </w:numPr>
        <w:tabs>
          <w:tab w:val="clear" w:pos="720"/>
        </w:tabs>
        <w:spacing w:line="360" w:lineRule="auto"/>
        <w:ind w:left="1064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Werkzeugabstimmung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Die Ausführung der Arbeiten erfolgt gemäß dem als Anlage beigefügten Zeitplan.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2.2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Als Vorlage für eine Entscheidung über die Nutzung präsentiert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dem Auftragg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ber: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2.3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Nach der Präsentation gemäß 2.2 entscheidet sich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innerhalb </w:t>
      </w:r>
      <w:proofErr w:type="gramStart"/>
      <w:r>
        <w:rPr>
          <w:rFonts w:ascii="Arial" w:hAnsi="Arial" w:cs="Arial"/>
          <w:sz w:val="20"/>
        </w:rPr>
        <w:t>von ..</w:t>
      </w:r>
      <w:proofErr w:type="gramEnd"/>
      <w:r>
        <w:rPr>
          <w:rFonts w:ascii="Arial" w:hAnsi="Arial" w:cs="Arial"/>
          <w:sz w:val="20"/>
        </w:rPr>
        <w:t>…...... Mon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ten, ob er die Vorlagen nutzen will. Entsprechen die Vorlagen ganz oder teilweise nicht seinen Vorstellungen, gibt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innerhalb dieser Frist eine entsprechende Erklärung ab. </w:t>
      </w:r>
      <w:proofErr w:type="spellStart"/>
      <w:r w:rsidR="00561029">
        <w:rPr>
          <w:rFonts w:ascii="Arial" w:hAnsi="Arial" w:cs="Arial"/>
          <w:sz w:val="20"/>
        </w:rPr>
        <w:t>C</w:t>
      </w:r>
      <w:r w:rsidR="00561029">
        <w:rPr>
          <w:rFonts w:ascii="Arial" w:hAnsi="Arial" w:cs="Arial"/>
          <w:sz w:val="20"/>
        </w:rPr>
        <w:t>o</w:t>
      </w:r>
      <w:r w:rsidR="00561029">
        <w:rPr>
          <w:rFonts w:ascii="Arial" w:hAnsi="Arial" w:cs="Arial"/>
          <w:sz w:val="20"/>
        </w:rPr>
        <w:t>lanie</w:t>
      </w:r>
      <w:proofErr w:type="spellEnd"/>
      <w:r>
        <w:rPr>
          <w:rFonts w:ascii="Arial" w:hAnsi="Arial" w:cs="Arial"/>
          <w:sz w:val="20"/>
        </w:rPr>
        <w:t xml:space="preserve"> versucht, soweit ihm dies künstlerisch/gestalterisch vertretbar erscheint, die Änderung</w:t>
      </w:r>
      <w:r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wünsche des Auftraggebers zu berücksichtigen. Für die Änderungen erhält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ein Zeith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norar gemäß 9.2 des Vertrages.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2.4</w:t>
      </w:r>
      <w:r>
        <w:rPr>
          <w:rFonts w:ascii="Arial" w:hAnsi="Arial" w:cs="Arial"/>
          <w:sz w:val="20"/>
        </w:rPr>
        <w:tab/>
        <w:t xml:space="preserve">Lehnt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die Vornahme von Änderungen ab, weil sie ihm künstlerisch/gestalterisch nicht vertretbar erscheinen, oder akzeptiert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die Änderungen innerhalb </w:t>
      </w:r>
      <w:proofErr w:type="gramStart"/>
      <w:r>
        <w:rPr>
          <w:rFonts w:ascii="Arial" w:hAnsi="Arial" w:cs="Arial"/>
          <w:sz w:val="20"/>
        </w:rPr>
        <w:t>von ..</w:t>
      </w:r>
      <w:proofErr w:type="gramEnd"/>
      <w:r>
        <w:rPr>
          <w:rFonts w:ascii="Arial" w:hAnsi="Arial" w:cs="Arial"/>
          <w:sz w:val="20"/>
        </w:rPr>
        <w:t xml:space="preserve">…...... Monaten nach deren Präsentation nicht, endet der Vertrag. In diesem Fall behält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den Anspruch auf Werkhonorar gemäß Punkt 9 des Vertrages und kann sein Werk (auch mit den Änderungen) selbst verwerten oder durch einen Dritten verwerten lassen.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2.5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Nach Billigung der Vorlagen durch den Auftraggeber stellt ihm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unverzüglich fo</w:t>
      </w:r>
      <w:r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gende Unterlagen/Daten zur Verfügung: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.......................................................................................................................................................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ab/>
        <w:t xml:space="preserve">Eigentum, Rückgabepflicht, Zugangsrecht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Sämtliche Entwürfe, Modelle, Unterlagen und Daten bleiben im Eigentum des Designers. Nach vertragsgemäßer Nutzung sind die Vorlagen unverzüglich wieder zurückzugeben. Eine vorze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tige Rückgabepflicht besteht während des laufenden Vertragsverhältnisses dann, wenn </w:t>
      </w:r>
      <w:proofErr w:type="spellStart"/>
      <w:r w:rsidR="00561029">
        <w:rPr>
          <w:rFonts w:ascii="Arial" w:hAnsi="Arial" w:cs="Arial"/>
          <w:sz w:val="20"/>
        </w:rPr>
        <w:t>Col</w:t>
      </w:r>
      <w:r w:rsidR="00561029">
        <w:rPr>
          <w:rFonts w:ascii="Arial" w:hAnsi="Arial" w:cs="Arial"/>
          <w:sz w:val="20"/>
        </w:rPr>
        <w:t>a</w:t>
      </w:r>
      <w:r w:rsidR="00561029">
        <w:rPr>
          <w:rFonts w:ascii="Arial" w:hAnsi="Arial" w:cs="Arial"/>
          <w:sz w:val="20"/>
        </w:rPr>
        <w:t>nie</w:t>
      </w:r>
      <w:proofErr w:type="spellEnd"/>
      <w:r>
        <w:rPr>
          <w:rFonts w:ascii="Arial" w:hAnsi="Arial" w:cs="Arial"/>
          <w:sz w:val="20"/>
        </w:rPr>
        <w:t xml:space="preserve"> ein berechtigtes Interesse zur Rückforderung nachweist.</w:t>
      </w:r>
      <w:r>
        <w:rPr>
          <w:rStyle w:val="Endnotenzeichen"/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sz w:val="20"/>
        </w:rPr>
        <w:t>Unabhängig davon kann er jede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zeit Zugang zu den Vorlagen verlangen.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41" w:hanging="641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b/>
          <w:sz w:val="20"/>
        </w:rPr>
        <w:tab/>
        <w:t>Anerkennung der Urheberschaft, Urheberrechtsvereinbarung</w:t>
      </w:r>
    </w:p>
    <w:p w:rsidR="003457F1" w:rsidRDefault="003457F1">
      <w:pPr>
        <w:spacing w:line="360" w:lineRule="auto"/>
        <w:ind w:left="641" w:hanging="641"/>
        <w:jc w:val="both"/>
        <w:rPr>
          <w:rFonts w:ascii="Arial" w:hAnsi="Arial" w:cs="Arial"/>
          <w:sz w:val="20"/>
        </w:rPr>
      </w:pPr>
    </w:p>
    <w:p w:rsidR="003457F1" w:rsidRDefault="007F4930">
      <w:pPr>
        <w:pStyle w:val="Textkrper-Zeileneinzug"/>
        <w:keepNext w:val="0"/>
      </w:pPr>
      <w:r>
        <w:tab/>
      </w:r>
      <w:r w:rsidR="00561029">
        <w:t xml:space="preserve">die </w:t>
      </w:r>
      <w:proofErr w:type="spellStart"/>
      <w:r w:rsidR="00561029">
        <w:t>Thonet</w:t>
      </w:r>
      <w:proofErr w:type="spellEnd"/>
      <w:r w:rsidR="00561029">
        <w:t xml:space="preserve"> AG</w:t>
      </w:r>
      <w:r>
        <w:t xml:space="preserve"> erkennt ausdrücklich an, dass </w:t>
      </w:r>
      <w:proofErr w:type="spellStart"/>
      <w:r w:rsidR="00561029">
        <w:t>Colanie</w:t>
      </w:r>
      <w:proofErr w:type="spellEnd"/>
      <w:r>
        <w:t xml:space="preserve"> alleiniger Urheber der von ihm geliefe</w:t>
      </w:r>
      <w:r>
        <w:t>r</w:t>
      </w:r>
      <w:r>
        <w:t xml:space="preserve">ten Entwürfe und Modelle ist. Die Regelungen des Urheberrechtsgesetzes gelten auch für den Fall als vereinbart, dass die Vorlagen des Designers die nach § 2 Abs. 2 UrhG notwendige Schöpfungshöhe nicht aufweisen. Insbesondere ist </w:t>
      </w:r>
      <w:r w:rsidR="00561029">
        <w:t xml:space="preserve">die </w:t>
      </w:r>
      <w:proofErr w:type="spellStart"/>
      <w:r w:rsidR="00561029">
        <w:t>Thonet</w:t>
      </w:r>
      <w:proofErr w:type="spellEnd"/>
      <w:r w:rsidR="00561029">
        <w:t xml:space="preserve"> AG</w:t>
      </w:r>
      <w:r>
        <w:t xml:space="preserve"> zur Zahlung der vereinba</w:t>
      </w:r>
      <w:r>
        <w:t>r</w:t>
      </w:r>
      <w:r>
        <w:t xml:space="preserve">ten Vergütungen unabhängig von einer urheberrechtlichen oder sonstigen Schutzfähigkeit der </w:t>
      </w:r>
      <w:r>
        <w:lastRenderedPageBreak/>
        <w:t>Vorlagen und auch für den Fall des Ablaufs der Schutzfristen von Sonderschutzrechten ve</w:t>
      </w:r>
      <w:r>
        <w:t>r</w:t>
      </w:r>
      <w:r>
        <w:t>pflichtet.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ab/>
        <w:t xml:space="preserve">Verschwiegenheit, Schutzrechte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5.1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verpflichtet sich, bis zur Entscheidung über die Nutzung die Vorlagen des D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signers nicht ohne dessen vorherige Zustimmung zu veröffentlichen und/oder als Schutzrecht anzumelden. Er wird die Vorlagen ohne Zustimmung des Designers auch weder als Ganzes noch in Teilen Dritten zugänglich machen.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5.2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Entscheidet sich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zur Nutzung, ist er zur Anmeldung von Geschmacksmustern und/oder technischen Schutzrechten berechtigt, wird dabei jedoch den Designer als Entwerfer bzw. Erfinder benennen.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  <w:r>
        <w:rPr>
          <w:rFonts w:ascii="Arial" w:hAnsi="Arial" w:cs="Arial"/>
          <w:bCs w:val="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Außerdem ist er zur Anmeldung des Designs als Marke berechtigt. Dasselbe gilt für die in Punkt 8 des Vertrages genannten Änderungen, Weiterentwicklungen und Übernahmen. Bringt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Schutzrechte zur Eintragung, ist er während der 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tragsdauer auch zu deren Aufrechterhaltung verpflichtet. Endet der Vertrag oder fallen die Nu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 xml:space="preserve">zungsrechte an den Designer aus sonstigen Gründen zurück, ist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zur unverzü</w:t>
      </w:r>
      <w:r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 xml:space="preserve">lichen Übertragung der Schutzrechte auf den Designer verpflichtet.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5.3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haftet nicht für die wirtschaftliche Verwertbarkeit der Designvorlagen. Ebenso wenig haftet er für deren Schutzfähigkeit und die Durchsetzbarkeit damit zusammenhängender A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sprüche aus Urheber-, (Gemeinschafts-)Geschmacksmuster-, Gebrauchsmuster-, Patent-, Marken- und Wettbewerbsrecht, und ihm obliegen auch keine dahingehenden Recherchen. A</w:t>
      </w:r>
      <w:r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 xml:space="preserve">lerdings ist er verpflichtet, den </w:t>
      </w:r>
      <w:proofErr w:type="spellStart"/>
      <w:r>
        <w:rPr>
          <w:rFonts w:ascii="Arial" w:hAnsi="Arial" w:cs="Arial"/>
          <w:sz w:val="20"/>
        </w:rPr>
        <w:t>Auftrageber</w:t>
      </w:r>
      <w:proofErr w:type="spellEnd"/>
      <w:r>
        <w:rPr>
          <w:rFonts w:ascii="Arial" w:hAnsi="Arial" w:cs="Arial"/>
          <w:sz w:val="20"/>
        </w:rPr>
        <w:t xml:space="preserve"> auf insoweit eventuell bestehende rechtliche Ris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ken hinzuweisen, sofern sie ihm während der Vertragsdauer bekannt werden.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5.4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verpflichtet sich, den genutzten Vertragsgegenstand gegen Nachahmungen oder sonstige Angriffe Dritter auf seine Kosten zu verteidigen. Dabei wird ihn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unte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 xml:space="preserve">stützen. Schließt sich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dem Verletzungsprozess als Partei an und hat der Gegner Schadensersatz zu leisten, erhält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davon die Hälfte.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5.5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greift während der Vertragsdauer keine den Vertragsgegenstand betreffe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den Schutzrechte an und unterstützt auch Dritte nicht bei solchen Angriffen.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>
        <w:rPr>
          <w:rFonts w:ascii="Arial" w:hAnsi="Arial" w:cs="Arial"/>
          <w:b/>
          <w:sz w:val="20"/>
        </w:rPr>
        <w:tab/>
        <w:t>Rechtseinräumung, Auswertungspflicht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6.1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Sobald sich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zur Nutzung der Vorlagen entscheidet, räumt ihm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das e</w:t>
      </w: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>klusive Recht zur Vervielfältigung und zur Verbreitung des Vertragsgegenstandes in folge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dem Umfang ein: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  <w:t>Nutzungsdauer:</w:t>
      </w:r>
      <w:r>
        <w:rPr>
          <w:rFonts w:ascii="Arial" w:hAnsi="Arial" w:cs="Arial"/>
          <w:sz w:val="20"/>
        </w:rPr>
        <w:tab/>
        <w:t>…………………………………………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Stückzahl: </w:t>
      </w:r>
      <w:r>
        <w:rPr>
          <w:rFonts w:ascii="Arial" w:hAnsi="Arial" w:cs="Arial"/>
          <w:sz w:val="20"/>
        </w:rPr>
        <w:tab/>
        <w:t>…………………………......………….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Vertriebsgebiet:</w:t>
      </w:r>
      <w:r>
        <w:rPr>
          <w:rFonts w:ascii="Arial" w:hAnsi="Arial" w:cs="Arial"/>
          <w:sz w:val="20"/>
        </w:rPr>
        <w:tab/>
        <w:t>………………………..............………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2"/>
        </w:rPr>
        <w:t>Die Nutzungsrechte gehen erst nach vollständiger Bezahlung des Werkhonorars auf den Au</w:t>
      </w:r>
      <w:r>
        <w:rPr>
          <w:rFonts w:ascii="Arial" w:hAnsi="Arial" w:cs="Arial"/>
          <w:sz w:val="20"/>
          <w:szCs w:val="22"/>
        </w:rPr>
        <w:t>f</w:t>
      </w:r>
      <w:r>
        <w:rPr>
          <w:rFonts w:ascii="Arial" w:hAnsi="Arial" w:cs="Arial"/>
          <w:sz w:val="20"/>
          <w:szCs w:val="22"/>
        </w:rPr>
        <w:t>traggeber über.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6.2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verpflichtet, spätestens …....... Monate nach seiner Entscheidung zur Nu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zung die Produktion und/oder den Vertrieb einschließlich Werbung aufzunehmen.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6.3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Kommt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der in 6.2 genannten Pflicht nicht nach, hat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nach Frista</w:t>
      </w:r>
      <w:r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lauf das Recht zur sofortigen Kündigung des Vertrages.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</w:t>
      </w:r>
      <w:r>
        <w:rPr>
          <w:rFonts w:ascii="Arial" w:hAnsi="Arial" w:cs="Arial"/>
          <w:b/>
          <w:sz w:val="20"/>
        </w:rPr>
        <w:tab/>
        <w:t>Unterlizenzen, Weiterübertragung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zur Vergabe von Unterlizenzen und/oder Weiterübertragung der ihm eing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räumten Nutzungsrechte nicht ohne vorherige Zustimmung des Designers berechtigt.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</w:t>
      </w:r>
      <w:r>
        <w:rPr>
          <w:rFonts w:ascii="Arial" w:hAnsi="Arial" w:cs="Arial"/>
          <w:b/>
          <w:sz w:val="20"/>
        </w:rPr>
        <w:tab/>
        <w:t>Änderungen, Weiterentwicklungen und Übernahme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8.1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Änderungen und Weiterentwicklungen des Vertragsgegenstandes sowie die Übernahme des Designs für andere Produkte bzw. andere Anwendungsbereiche sind nur mit Zustimmung des Designers zulässig. In diesen Fällen lässt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die entsprechenden Arbeiten nur vom Designer ausführen. Etwas anderes gilt für geringfügige Änderungen, die aus fertigungstechn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schen Gründen unabdingbar sind und die äußere Gestaltung und/oder technische Funktion des Vertragsgegenstandes in keiner Weise beeinträchtigen.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8.2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hat innerhalb von …....... Wochen nach Erhalt des Angebots zur Ausführung der Arbe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ten gemäß 8.1 (Satz 2) zu erklären, ob er den Auftrag annimmt. Lehnt er dies ab, obwohl ihm die Ausführung der Arbeiten technisch und/oder künstlerisch zumutbar ist, kann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einen anderen Designer beauftragen. Weicht das von dem anderen Designer gestaltete Pr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dukt wesentlich von dem Design des Ausgangsproduktes ab, unterliegt das neue Produkt nicht mehr den Regelungen dieses Vertrages.</w:t>
      </w:r>
    </w:p>
    <w:p w:rsidR="003457F1" w:rsidRDefault="003457F1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  <w:t xml:space="preserve">Werkhonorar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9.1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zahlt dem Designer folgende Vergütung: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i/>
          <w:sz w:val="20"/>
        </w:rPr>
      </w:pPr>
    </w:p>
    <w:tbl>
      <w:tblPr>
        <w:tblW w:w="8431" w:type="dxa"/>
        <w:tblInd w:w="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9"/>
        <w:gridCol w:w="1632"/>
      </w:tblGrid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Beschaffung von Informationen über Markt und Wettbewerbsprodukte</w:t>
            </w:r>
          </w:p>
        </w:tc>
        <w:tc>
          <w:tcPr>
            <w:tcW w:w="1632" w:type="dxa"/>
          </w:tcPr>
          <w:p w:rsidR="003457F1" w:rsidRDefault="007F4930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Grobentwürfe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Maßstabentwürfe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Proportionsmodell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Aufrisszeichnungen</w:t>
            </w:r>
            <w:proofErr w:type="spellEnd"/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Konstruktionszeichnungen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Einzelteilzeichnungen 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Funktionsmodell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Versuche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Prototyp 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  <w:tr w:rsidR="003457F1">
        <w:tc>
          <w:tcPr>
            <w:tcW w:w="6799" w:type="dxa"/>
          </w:tcPr>
          <w:p w:rsidR="003457F1" w:rsidRDefault="007F4930">
            <w:pPr>
              <w:numPr>
                <w:ilvl w:val="0"/>
                <w:numId w:val="29"/>
              </w:numPr>
              <w:tabs>
                <w:tab w:val="clear" w:pos="720"/>
              </w:tabs>
              <w:spacing w:line="360" w:lineRule="auto"/>
              <w:ind w:left="347" w:hanging="34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Werkzeugabstimmung</w:t>
            </w:r>
          </w:p>
        </w:tc>
        <w:tc>
          <w:tcPr>
            <w:tcW w:w="1632" w:type="dxa"/>
          </w:tcPr>
          <w:p w:rsidR="003457F1" w:rsidRDefault="007F4930">
            <w:r>
              <w:rPr>
                <w:rFonts w:ascii="Arial" w:hAnsi="Arial" w:cs="Arial"/>
                <w:iCs/>
                <w:sz w:val="20"/>
              </w:rPr>
              <w:t>......................  €</w:t>
            </w:r>
          </w:p>
        </w:tc>
      </w:tr>
    </w:tbl>
    <w:p w:rsidR="003457F1" w:rsidRDefault="003457F1">
      <w:pPr>
        <w:pStyle w:val="Brieftext"/>
        <w:rPr>
          <w:rFonts w:ascii="Arial" w:hAnsi="Arial" w:cs="Arial"/>
          <w:iCs/>
          <w:sz w:val="20"/>
        </w:rPr>
      </w:pP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9.2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Nimmt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für den Auftraggeber gemäß 2.3 oder 8 des Vertrages Änderungen an den Vo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 xml:space="preserve">lagen bzw. Produkten vor, fällt ein Zeithonorar in Höhe von </w:t>
      </w:r>
      <w:r>
        <w:rPr>
          <w:rFonts w:ascii="Arial" w:hAnsi="Arial" w:cs="Arial"/>
          <w:iCs/>
          <w:sz w:val="20"/>
        </w:rPr>
        <w:t>......................  €</w:t>
      </w:r>
      <w:r>
        <w:rPr>
          <w:rFonts w:ascii="Arial" w:hAnsi="Arial" w:cs="Arial"/>
          <w:sz w:val="20"/>
        </w:rPr>
        <w:t xml:space="preserve"> je Stunde an.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 xml:space="preserve">9.3 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Die vorgenannten Vergütungen sind auch dann zu entrichten, wenn sich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g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gen eine Nutzung der Vorlagen entscheidet.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Nutzungshonorar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10.1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zahlt zusätzlich zu dem Werkhonorar für jedes Produkt, das er seinen Abne</w:t>
      </w:r>
      <w:r>
        <w:rPr>
          <w:rFonts w:ascii="Arial" w:hAnsi="Arial" w:cs="Arial"/>
          <w:sz w:val="20"/>
        </w:rPr>
        <w:t>h</w:t>
      </w:r>
      <w:r>
        <w:rPr>
          <w:rFonts w:ascii="Arial" w:hAnsi="Arial" w:cs="Arial"/>
          <w:sz w:val="20"/>
        </w:rPr>
        <w:t xml:space="preserve">mern verkauft, an den Designer eine Lizenzgebühr in Höhe </w:t>
      </w:r>
      <w:proofErr w:type="gramStart"/>
      <w:r>
        <w:rPr>
          <w:rFonts w:ascii="Arial" w:hAnsi="Arial" w:cs="Arial"/>
          <w:sz w:val="20"/>
        </w:rPr>
        <w:t>von ..........</w:t>
      </w:r>
      <w:proofErr w:type="gramEnd"/>
      <w:r>
        <w:rPr>
          <w:rFonts w:ascii="Arial" w:hAnsi="Arial" w:cs="Arial"/>
          <w:sz w:val="20"/>
        </w:rPr>
        <w:t xml:space="preserve"> Prozent des Nettove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 xml:space="preserve">kaufspreises zuzüglich Mehrwertsteuer. Unter „Nettoverkaufspreis“ ist der vom Auftraggeber erzielte Verkaufserlös abzüglich der darin enthaltenen Mehrwertsteuer zu verstehen.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10.2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Unabhängig von der Anzahl der verkauften Produkte zahlt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dem Designer eine Mindestlizenzgebühr von </w:t>
      </w:r>
      <w:r>
        <w:rPr>
          <w:rFonts w:ascii="Arial" w:hAnsi="Arial" w:cs="Arial"/>
          <w:iCs/>
          <w:sz w:val="20"/>
        </w:rPr>
        <w:t>......................  €</w:t>
      </w:r>
      <w:r>
        <w:rPr>
          <w:rFonts w:ascii="Arial" w:hAnsi="Arial" w:cs="Arial"/>
          <w:sz w:val="20"/>
        </w:rPr>
        <w:t xml:space="preserve"> jährlich. Dieser Betrag wird auf die gemäß 10.1 zu zahlende Lizenzgebühr angerechnet.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10.3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Liegt die gemäß 10.1 zu zahlende Lizenzgebühr im Jahresdurchschnitt unter </w:t>
      </w:r>
      <w:r>
        <w:rPr>
          <w:rFonts w:ascii="Arial" w:hAnsi="Arial" w:cs="Arial"/>
          <w:iCs/>
          <w:sz w:val="20"/>
        </w:rPr>
        <w:t>......................  €</w:t>
      </w:r>
      <w:r>
        <w:rPr>
          <w:rFonts w:ascii="Arial" w:hAnsi="Arial" w:cs="Arial"/>
          <w:sz w:val="20"/>
        </w:rPr>
        <w:t xml:space="preserve"> (brutto)</w:t>
      </w:r>
      <w:proofErr w:type="gramStart"/>
      <w:r>
        <w:rPr>
          <w:rFonts w:ascii="Arial" w:hAnsi="Arial" w:cs="Arial"/>
          <w:sz w:val="20"/>
        </w:rPr>
        <w:t>,</w:t>
      </w:r>
      <w:proofErr w:type="gramEnd"/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das Recht, den Vertrag mit einer Frist von sechs Monaten zum Ende des Folgejahres der Abrechnung zu kündigen.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10.4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Erreicht der Jahresumsatz aus dem Verkauf der Produkte nicht den Betrag </w:t>
      </w:r>
      <w:proofErr w:type="gramStart"/>
      <w:r>
        <w:rPr>
          <w:rFonts w:ascii="Arial" w:hAnsi="Arial" w:cs="Arial"/>
          <w:sz w:val="20"/>
        </w:rPr>
        <w:t xml:space="preserve">von </w:t>
      </w:r>
      <w:r>
        <w:rPr>
          <w:rFonts w:ascii="Arial" w:hAnsi="Arial" w:cs="Arial"/>
          <w:iCs/>
          <w:sz w:val="20"/>
        </w:rPr>
        <w:t>....................</w:t>
      </w:r>
      <w:proofErr w:type="gramEnd"/>
      <w:r>
        <w:rPr>
          <w:rFonts w:ascii="Arial" w:hAnsi="Arial" w:cs="Arial"/>
          <w:iCs/>
          <w:sz w:val="20"/>
        </w:rPr>
        <w:t xml:space="preserve">  €</w:t>
      </w:r>
      <w:r>
        <w:rPr>
          <w:rFonts w:ascii="Arial" w:hAnsi="Arial" w:cs="Arial"/>
          <w:sz w:val="20"/>
        </w:rPr>
        <w:t xml:space="preserve"> (brutto), ist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berechtigt, den Vertrag mit einer Frist von drei Monaten zum Ende des Jahres zu kündigen, in dem der Umsatz unter dem genannten Betrag bleibt.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keepNext/>
        <w:spacing w:line="360" w:lineRule="auto"/>
        <w:ind w:left="641" w:hanging="641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11</w:t>
      </w:r>
      <w:r>
        <w:rPr>
          <w:rFonts w:ascii="Arial" w:hAnsi="Arial" w:cs="Arial"/>
          <w:b/>
          <w:sz w:val="20"/>
        </w:rPr>
        <w:tab/>
        <w:t>Fälligkeit und Abrechnung</w:t>
      </w:r>
    </w:p>
    <w:p w:rsidR="003457F1" w:rsidRDefault="003457F1">
      <w:pPr>
        <w:keepNext/>
        <w:spacing w:line="360" w:lineRule="auto"/>
        <w:ind w:left="641" w:hanging="641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11.1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verpflichtet, vierteljährlich eine nach Produkt und Umsatz aufgeschlüsselte Abrechnung zu erteilen. Die Lizenzgebühr ist innerhalb von einem Monat ab dem Datum der Abrechnung zu zahlen.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11.2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kann die Richtigkeit und Vollständigkeit der Abrechnung durch einen zur Berufsve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schwiegenheit verpflichteten Dritten (Rechtsanwalt, Wirtschaftsprüfer, Steuerberater oder 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eidigten Buchsachverständigen) nachprüfen lassen. Erweist sich die Abrechnung als fehle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 xml:space="preserve">haft, hat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die Kosten der Prüfung zu tragen. 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12</w:t>
      </w:r>
      <w:r>
        <w:rPr>
          <w:rFonts w:ascii="Arial" w:hAnsi="Arial" w:cs="Arial"/>
          <w:b/>
          <w:sz w:val="20"/>
        </w:rPr>
        <w:tab/>
        <w:t>Namensnennung, Eigenwerbung, Belegexemplar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12.1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verpflichtet, den Namen des Designers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  <w:r>
        <w:rPr>
          <w:rFonts w:ascii="Arial" w:hAnsi="Arial" w:cs="Arial"/>
          <w:sz w:val="20"/>
        </w:rPr>
        <w:t>bei eigenen Werbemaßnahmen (i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klusive Messen) zu nennen. Zudem hat er durch entsprechende Hinweise darauf hinzuwi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 xml:space="preserve">ken, dass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in der Presse und bei öffentlichen Veranstaltungen, insbesondere Ausste</w:t>
      </w:r>
      <w:r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 xml:space="preserve">lungen, benannt wird.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12.2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zur Anmeldung des Vertragsgegenstandes bei Designwettbewerben berec</w:t>
      </w:r>
      <w:r>
        <w:rPr>
          <w:rFonts w:ascii="Arial" w:hAnsi="Arial" w:cs="Arial"/>
          <w:sz w:val="20"/>
        </w:rPr>
        <w:t>h</w:t>
      </w:r>
      <w:r>
        <w:rPr>
          <w:rFonts w:ascii="Arial" w:hAnsi="Arial" w:cs="Arial"/>
          <w:sz w:val="20"/>
        </w:rPr>
        <w:t xml:space="preserve">tigt, wird dabei jedoch ausdrücklich den Designer als Urheber benennen. Lehnt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den Wunsch des Designers nach einer solchen Teilnahme ab, ist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selbst zur Anme</w:t>
      </w:r>
      <w:r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dung berechtigt.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12.3</w:t>
      </w:r>
      <w:r>
        <w:rPr>
          <w:rFonts w:ascii="Arial" w:hAnsi="Arial" w:cs="Arial"/>
          <w:bCs w:val="0"/>
          <w:sz w:val="20"/>
        </w:rPr>
        <w:tab/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verpflichtet, keine andere Person als Urheber bei der Bewerbung des 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tragsgegenstandes zu benennen.</w:t>
      </w:r>
      <w:r>
        <w:rPr>
          <w:rStyle w:val="Endnotenzeichen"/>
          <w:rFonts w:ascii="Arial" w:hAnsi="Arial" w:cs="Arial"/>
          <w:b w:val="0"/>
          <w:bCs w:val="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Bei einem Verstoß gegen diese Pflicht zahlt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für jeden Einzelfall der Zuwiderhandlung an den Designer eine Vertragsstrafe in Höhe von </w:t>
      </w:r>
      <w:r>
        <w:rPr>
          <w:rFonts w:ascii="Arial" w:hAnsi="Arial" w:cs="Arial"/>
          <w:iCs/>
          <w:sz w:val="20"/>
        </w:rPr>
        <w:t>......................  €</w:t>
      </w:r>
      <w:r>
        <w:rPr>
          <w:rFonts w:ascii="Arial" w:hAnsi="Arial" w:cs="Arial"/>
          <w:sz w:val="20"/>
        </w:rPr>
        <w:t>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12.4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erhält ein Belegexemplar des produzierten Vertragsgegenstandes. Dies gilt auch für jede geänderte Produktion. Ist die Überlassung eines Belegexemplars aufgrund der Größe 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der vergleichbarer Umstände für den Auftraggeber mit unverhältnismäßigem Aufwand verbu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den, stellt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dem Designer fotografische Wiedergaben des Produkts mit den en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 xml:space="preserve">sprechenden Nutzungsrechten für die Eigenwerbung zur Verfügung. 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41" w:hanging="641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13</w:t>
      </w:r>
      <w:r>
        <w:rPr>
          <w:rFonts w:ascii="Arial" w:hAnsi="Arial" w:cs="Arial"/>
          <w:b/>
          <w:sz w:val="20"/>
        </w:rPr>
        <w:tab/>
        <w:t>Fremdleistungen</w:t>
      </w:r>
    </w:p>
    <w:p w:rsidR="003457F1" w:rsidRDefault="003457F1">
      <w:pPr>
        <w:spacing w:line="360" w:lineRule="auto"/>
        <w:ind w:left="641" w:hanging="641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41" w:hanging="6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13.1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erstellt eine Liste der zur Auftragserfüllung notwendigen Fremdleistungen und legt sie dem </w:t>
      </w:r>
      <w:proofErr w:type="spellStart"/>
      <w:r>
        <w:rPr>
          <w:rFonts w:ascii="Arial" w:hAnsi="Arial" w:cs="Arial"/>
          <w:sz w:val="20"/>
        </w:rPr>
        <w:t>Auftrageber</w:t>
      </w:r>
      <w:proofErr w:type="spellEnd"/>
      <w:r>
        <w:rPr>
          <w:rFonts w:ascii="Arial" w:hAnsi="Arial" w:cs="Arial"/>
          <w:sz w:val="20"/>
        </w:rPr>
        <w:t xml:space="preserve"> zur Genehmigung vor. </w:t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ist nach Erteilung der Genehmigung berec</w:t>
      </w:r>
      <w:r>
        <w:rPr>
          <w:rFonts w:ascii="Arial" w:hAnsi="Arial" w:cs="Arial"/>
          <w:sz w:val="20"/>
        </w:rPr>
        <w:t>h</w:t>
      </w:r>
      <w:r>
        <w:rPr>
          <w:rFonts w:ascii="Arial" w:hAnsi="Arial" w:cs="Arial"/>
          <w:sz w:val="20"/>
        </w:rPr>
        <w:t xml:space="preserve">tigt, diese Leistungen im Namen und für Rechnung des Auftraggebers zu bestellen.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ist verpflichtet, dem Designer auf Verlangen hierzu schriftliche Vollmacht</w:t>
      </w:r>
      <w:r>
        <w:rPr>
          <w:rStyle w:val="Endnotenzeichen"/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sz w:val="20"/>
        </w:rPr>
        <w:t>zu erte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len.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13.2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>Soweit im Einzelfall Verträge über Fremdleistungen im Namen und für Rechnung des Desi</w:t>
      </w:r>
      <w:r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 xml:space="preserve">ners abgeschlossen werden, ist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verpflichtet, den Designer im Innenverhältnis von sämtlichen Verbindlichkeiten freizustellen, die sich aus dem Vertragsabschluss ergeben, insbesondere von der Verpflichtung der Zahlung des Preises für die Fremdleistung.</w:t>
      </w:r>
      <w:r>
        <w:rPr>
          <w:rFonts w:ascii="Arial" w:hAnsi="Arial" w:cs="Arial"/>
          <w:b/>
          <w:sz w:val="20"/>
        </w:rPr>
        <w:t xml:space="preserve"> </w:t>
      </w:r>
    </w:p>
    <w:p w:rsidR="003457F1" w:rsidRDefault="003457F1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14</w:t>
      </w:r>
      <w:r>
        <w:rPr>
          <w:rFonts w:ascii="Arial" w:hAnsi="Arial" w:cs="Arial"/>
          <w:b/>
          <w:sz w:val="20"/>
        </w:rPr>
        <w:tab/>
        <w:t xml:space="preserve">Haftung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haftet nicht für die technische Durchführbarkeit der Produktion des Vertragsgege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standes. Er haftet ferner nicht für Schäden, die aus der Anwendung des produzierten Ve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tragsgegenstandes folgen.</w:t>
      </w:r>
    </w:p>
    <w:p w:rsidR="003457F1" w:rsidRDefault="003457F1">
      <w:pPr>
        <w:spacing w:line="360" w:lineRule="auto"/>
        <w:jc w:val="both"/>
        <w:outlineLvl w:val="0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15</w:t>
      </w:r>
      <w:r>
        <w:rPr>
          <w:rFonts w:ascii="Arial" w:hAnsi="Arial" w:cs="Arial"/>
          <w:b/>
          <w:sz w:val="20"/>
        </w:rPr>
        <w:tab/>
        <w:t xml:space="preserve">Laufzeit und Beendigung 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15.1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>Der Vertrag endet, falls er nicht vorher gemäß 2.4 beendet wird, mit Ablauf der in 6.1 bestim</w:t>
      </w:r>
      <w:r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>ten Nutzungsdauer.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 xml:space="preserve">15.2 </w:t>
      </w:r>
      <w:r>
        <w:rPr>
          <w:rFonts w:ascii="Arial" w:hAnsi="Arial" w:cs="Arial"/>
          <w:bCs w:val="0"/>
          <w:sz w:val="20"/>
        </w:rPr>
        <w:tab/>
      </w:r>
      <w:proofErr w:type="spellStart"/>
      <w:r w:rsidR="00561029">
        <w:rPr>
          <w:rFonts w:ascii="Arial" w:hAnsi="Arial" w:cs="Arial"/>
          <w:sz w:val="20"/>
        </w:rPr>
        <w:t>Colanie</w:t>
      </w:r>
      <w:proofErr w:type="spellEnd"/>
      <w:r>
        <w:rPr>
          <w:rFonts w:ascii="Arial" w:hAnsi="Arial" w:cs="Arial"/>
          <w:sz w:val="20"/>
        </w:rPr>
        <w:t xml:space="preserve"> hat ein außerordentliches Kündigungsrecht, wenn </w:t>
      </w:r>
      <w:r w:rsidR="00561029">
        <w:rPr>
          <w:rFonts w:ascii="Arial" w:hAnsi="Arial" w:cs="Arial"/>
          <w:sz w:val="20"/>
        </w:rPr>
        <w:t xml:space="preserve">die </w:t>
      </w:r>
      <w:proofErr w:type="spellStart"/>
      <w:r w:rsidR="00561029">
        <w:rPr>
          <w:rFonts w:ascii="Arial" w:hAnsi="Arial" w:cs="Arial"/>
          <w:sz w:val="20"/>
        </w:rPr>
        <w:t>Thonet</w:t>
      </w:r>
      <w:proofErr w:type="spellEnd"/>
      <w:r w:rsidR="00561029">
        <w:rPr>
          <w:rFonts w:ascii="Arial" w:hAnsi="Arial" w:cs="Arial"/>
          <w:sz w:val="20"/>
        </w:rPr>
        <w:t xml:space="preserve"> AG</w:t>
      </w:r>
      <w:r>
        <w:rPr>
          <w:rFonts w:ascii="Arial" w:hAnsi="Arial" w:cs="Arial"/>
          <w:sz w:val="20"/>
        </w:rPr>
        <w:t xml:space="preserve"> mit der A</w:t>
      </w:r>
      <w:r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rechnung und/oder Zahlung von Lizenzgebühren mehr als drei Monate in Verzug ist und/oder insolvent wird. Bei Vorliegen eines wichtigen Grundes ist zudem jede Partei zur fristlosen Kündigung b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rechtigt.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16</w:t>
      </w:r>
      <w:r>
        <w:rPr>
          <w:rFonts w:ascii="Arial" w:hAnsi="Arial" w:cs="Arial"/>
          <w:b/>
          <w:sz w:val="20"/>
        </w:rPr>
        <w:tab/>
        <w:t>Sonstiges</w:t>
      </w:r>
    </w:p>
    <w:p w:rsidR="003457F1" w:rsidRDefault="003457F1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16.1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 xml:space="preserve">Änderungen und Ergänzungen dieses Vertrages bedürfen der Schriftform. </w:t>
      </w:r>
    </w:p>
    <w:p w:rsidR="003457F1" w:rsidRDefault="003457F1">
      <w:pPr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spacing w:line="360" w:lineRule="auto"/>
        <w:ind w:left="639" w:hanging="63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16.2</w:t>
      </w:r>
      <w:r>
        <w:rPr>
          <w:rFonts w:ascii="Arial" w:hAnsi="Arial" w:cs="Arial"/>
          <w:bCs w:val="0"/>
          <w:sz w:val="20"/>
        </w:rPr>
        <w:tab/>
      </w:r>
      <w:r>
        <w:rPr>
          <w:rFonts w:ascii="Arial" w:hAnsi="Arial" w:cs="Arial"/>
          <w:sz w:val="20"/>
        </w:rPr>
        <w:t>Sollten Teile dieses Vertrages unwirksam sein oder werden, ändert das nichts an der Wir</w:t>
      </w:r>
      <w:r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samkeit der übrigen Teile.</w:t>
      </w:r>
    </w:p>
    <w:p w:rsidR="003457F1" w:rsidRDefault="003457F1">
      <w:pPr>
        <w:keepLines/>
        <w:tabs>
          <w:tab w:val="center" w:pos="2409"/>
          <w:tab w:val="center" w:pos="7228"/>
        </w:tabs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3457F1">
      <w:pPr>
        <w:keepLines/>
        <w:tabs>
          <w:tab w:val="center" w:pos="2409"/>
          <w:tab w:val="center" w:pos="7228"/>
        </w:tabs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keepLines/>
        <w:tabs>
          <w:tab w:val="center" w:pos="2409"/>
          <w:tab w:val="center" w:pos="7228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.............................................................., den ................................</w:t>
      </w:r>
    </w:p>
    <w:p w:rsidR="003457F1" w:rsidRDefault="003457F1">
      <w:pPr>
        <w:keepLines/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3457F1">
      <w:pPr>
        <w:keepLines/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3457F1">
      <w:pPr>
        <w:keepLines/>
        <w:spacing w:line="360" w:lineRule="auto"/>
        <w:jc w:val="both"/>
        <w:rPr>
          <w:rFonts w:ascii="Arial" w:hAnsi="Arial" w:cs="Arial"/>
          <w:sz w:val="20"/>
        </w:rPr>
      </w:pPr>
    </w:p>
    <w:p w:rsidR="003457F1" w:rsidRDefault="007F4930">
      <w:pPr>
        <w:keepLine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..............................................................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</w:t>
      </w: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(Auftraggeber)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(Designer)</w:t>
      </w:r>
    </w:p>
    <w:p w:rsidR="003457F1" w:rsidRDefault="003457F1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3457F1" w:rsidRDefault="003457F1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3457F1" w:rsidRDefault="007F493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Anlage: </w:t>
      </w:r>
      <w:r>
        <w:rPr>
          <w:rFonts w:ascii="Arial" w:hAnsi="Arial" w:cs="Arial"/>
          <w:sz w:val="20"/>
        </w:rPr>
        <w:t>Zeitplan (2.1 des Vertrages)</w:t>
      </w:r>
    </w:p>
    <w:sectPr w:rsidR="003457F1">
      <w:headerReference w:type="even" r:id="rId8"/>
      <w:head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22A" w:rsidRDefault="00CF722A">
      <w:r>
        <w:separator/>
      </w:r>
    </w:p>
  </w:endnote>
  <w:endnote w:type="continuationSeparator" w:id="0">
    <w:p w:rsidR="00CF722A" w:rsidRDefault="00CF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TC Officina Sans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TC Officina Serif Boo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22A" w:rsidRDefault="00CF722A">
      <w:r>
        <w:separator/>
      </w:r>
    </w:p>
  </w:footnote>
  <w:footnote w:type="continuationSeparator" w:id="0">
    <w:p w:rsidR="00CF722A" w:rsidRDefault="00CF7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F1" w:rsidRDefault="007F493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457F1" w:rsidRDefault="003457F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F1" w:rsidRDefault="007F493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61029">
      <w:rPr>
        <w:rStyle w:val="Seitenzahl"/>
        <w:noProof/>
      </w:rPr>
      <w:t>7</w:t>
    </w:r>
    <w:r>
      <w:rPr>
        <w:rStyle w:val="Seitenzahl"/>
      </w:rPr>
      <w:fldChar w:fldCharType="end"/>
    </w:r>
  </w:p>
  <w:p w:rsidR="003457F1" w:rsidRDefault="003457F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37A710"/>
    <w:multiLevelType w:val="hybridMultilevel"/>
    <w:tmpl w:val="462530A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731C56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2"/>
    <w:multiLevelType w:val="multilevel"/>
    <w:tmpl w:val="00000000"/>
    <w:lvl w:ilvl="0">
      <w:start w:val="7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04"/>
    <w:multiLevelType w:val="multilevel"/>
    <w:tmpl w:val="00000000"/>
    <w:lvl w:ilvl="0">
      <w:start w:val="9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B26576"/>
    <w:multiLevelType w:val="hybridMultilevel"/>
    <w:tmpl w:val="8F8C9A88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20A7201"/>
    <w:multiLevelType w:val="multilevel"/>
    <w:tmpl w:val="9EF6D3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DD9D83D"/>
    <w:multiLevelType w:val="hybridMultilevel"/>
    <w:tmpl w:val="A1457D27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E7251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3C2355D"/>
    <w:multiLevelType w:val="singleLevel"/>
    <w:tmpl w:val="EF72A85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u w:val="none"/>
      </w:rPr>
    </w:lvl>
  </w:abstractNum>
  <w:abstractNum w:abstractNumId="10">
    <w:nsid w:val="142055A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2E200D"/>
    <w:multiLevelType w:val="multilevel"/>
    <w:tmpl w:val="95AC78F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A02F2C0"/>
    <w:multiLevelType w:val="hybridMultilevel"/>
    <w:tmpl w:val="2FE0C05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BE66172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0184AB4"/>
    <w:multiLevelType w:val="hybridMultilevel"/>
    <w:tmpl w:val="655AC696"/>
    <w:lvl w:ilvl="0" w:tplc="D5E2D1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FC7E26"/>
    <w:multiLevelType w:val="hybridMultilevel"/>
    <w:tmpl w:val="A0B009BA"/>
    <w:lvl w:ilvl="0" w:tplc="6170A3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D2AE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F6E81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CBF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A846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5C7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92A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18CB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7D2C4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887FC3"/>
    <w:multiLevelType w:val="multilevel"/>
    <w:tmpl w:val="3E3AAAA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91D4CA0"/>
    <w:multiLevelType w:val="multilevel"/>
    <w:tmpl w:val="9054933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A354CE9"/>
    <w:multiLevelType w:val="hybridMultilevel"/>
    <w:tmpl w:val="646038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063D94"/>
    <w:multiLevelType w:val="singleLevel"/>
    <w:tmpl w:val="4306D23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u w:val="none"/>
      </w:rPr>
    </w:lvl>
  </w:abstractNum>
  <w:abstractNum w:abstractNumId="20">
    <w:nsid w:val="40250A60"/>
    <w:multiLevelType w:val="singleLevel"/>
    <w:tmpl w:val="04070015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2656332"/>
    <w:multiLevelType w:val="hybridMultilevel"/>
    <w:tmpl w:val="86C071D4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5C01FCF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9E929AC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F5A6817"/>
    <w:multiLevelType w:val="hybridMultilevel"/>
    <w:tmpl w:val="3294C7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6C026A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58ED105"/>
    <w:multiLevelType w:val="hybridMultilevel"/>
    <w:tmpl w:val="FA12CB3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83A78E2"/>
    <w:multiLevelType w:val="multilevel"/>
    <w:tmpl w:val="A012734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BD6729"/>
    <w:multiLevelType w:val="hybridMultilevel"/>
    <w:tmpl w:val="C7C2E3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8A38F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BA93A18"/>
    <w:multiLevelType w:val="singleLevel"/>
    <w:tmpl w:val="FAEE202C"/>
    <w:lvl w:ilvl="0">
      <w:start w:val="2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u w:val="none"/>
      </w:rPr>
    </w:lvl>
  </w:abstractNum>
  <w:abstractNum w:abstractNumId="31">
    <w:nsid w:val="5E582B77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F45339B"/>
    <w:multiLevelType w:val="hybridMultilevel"/>
    <w:tmpl w:val="FF224A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406615"/>
    <w:multiLevelType w:val="multilevel"/>
    <w:tmpl w:val="6AF00BD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664374EE"/>
    <w:multiLevelType w:val="multilevel"/>
    <w:tmpl w:val="3214A09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708636F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6BDF15C6"/>
    <w:multiLevelType w:val="multilevel"/>
    <w:tmpl w:val="24F66D9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>
    <w:nsid w:val="70635654"/>
    <w:multiLevelType w:val="singleLevel"/>
    <w:tmpl w:val="2FE8535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8">
    <w:nsid w:val="71A51CB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62B3984"/>
    <w:multiLevelType w:val="hybridMultilevel"/>
    <w:tmpl w:val="84B1F890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6805526"/>
    <w:multiLevelType w:val="singleLevel"/>
    <w:tmpl w:val="37E019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8606045"/>
    <w:multiLevelType w:val="multilevel"/>
    <w:tmpl w:val="ED58C80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>
    <w:nsid w:val="7B88CFF5"/>
    <w:multiLevelType w:val="hybridMultilevel"/>
    <w:tmpl w:val="DDAEBB87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D0F051E"/>
    <w:multiLevelType w:val="hybridMultilevel"/>
    <w:tmpl w:val="E68879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DB48F3"/>
    <w:multiLevelType w:val="hybridMultilevel"/>
    <w:tmpl w:val="9B70B8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8"/>
  </w:num>
  <w:num w:numId="4">
    <w:abstractNumId w:val="10"/>
  </w:num>
  <w:num w:numId="5">
    <w:abstractNumId w:val="41"/>
  </w:num>
  <w:num w:numId="6">
    <w:abstractNumId w:val="34"/>
  </w:num>
  <w:num w:numId="7">
    <w:abstractNumId w:val="37"/>
  </w:num>
  <w:num w:numId="8">
    <w:abstractNumId w:val="36"/>
  </w:num>
  <w:num w:numId="9">
    <w:abstractNumId w:val="33"/>
  </w:num>
  <w:num w:numId="10">
    <w:abstractNumId w:val="11"/>
  </w:num>
  <w:num w:numId="11">
    <w:abstractNumId w:val="27"/>
  </w:num>
  <w:num w:numId="12">
    <w:abstractNumId w:val="17"/>
  </w:num>
  <w:num w:numId="13">
    <w:abstractNumId w:val="1"/>
  </w:num>
  <w:num w:numId="14">
    <w:abstractNumId w:val="8"/>
  </w:num>
  <w:num w:numId="15">
    <w:abstractNumId w:val="3"/>
  </w:num>
  <w:num w:numId="16">
    <w:abstractNumId w:val="2"/>
  </w:num>
  <w:num w:numId="17">
    <w:abstractNumId w:val="4"/>
  </w:num>
  <w:num w:numId="18">
    <w:abstractNumId w:val="43"/>
  </w:num>
  <w:num w:numId="19">
    <w:abstractNumId w:val="12"/>
  </w:num>
  <w:num w:numId="20">
    <w:abstractNumId w:val="20"/>
  </w:num>
  <w:num w:numId="21">
    <w:abstractNumId w:val="9"/>
  </w:num>
  <w:num w:numId="22">
    <w:abstractNumId w:val="30"/>
  </w:num>
  <w:num w:numId="23">
    <w:abstractNumId w:val="19"/>
  </w:num>
  <w:num w:numId="24">
    <w:abstractNumId w:val="14"/>
  </w:num>
  <w:num w:numId="25">
    <w:abstractNumId w:val="5"/>
  </w:num>
  <w:num w:numId="26">
    <w:abstractNumId w:val="28"/>
  </w:num>
  <w:num w:numId="27">
    <w:abstractNumId w:val="32"/>
  </w:num>
  <w:num w:numId="28">
    <w:abstractNumId w:val="24"/>
  </w:num>
  <w:num w:numId="29">
    <w:abstractNumId w:val="18"/>
  </w:num>
  <w:num w:numId="30">
    <w:abstractNumId w:val="44"/>
  </w:num>
  <w:num w:numId="31">
    <w:abstractNumId w:val="7"/>
  </w:num>
  <w:num w:numId="32">
    <w:abstractNumId w:val="26"/>
  </w:num>
  <w:num w:numId="33">
    <w:abstractNumId w:val="0"/>
  </w:num>
  <w:num w:numId="34">
    <w:abstractNumId w:val="42"/>
  </w:num>
  <w:num w:numId="35">
    <w:abstractNumId w:val="39"/>
  </w:num>
  <w:num w:numId="36">
    <w:abstractNumId w:val="21"/>
  </w:num>
  <w:num w:numId="37">
    <w:abstractNumId w:val="35"/>
  </w:num>
  <w:num w:numId="38">
    <w:abstractNumId w:val="29"/>
  </w:num>
  <w:num w:numId="39">
    <w:abstractNumId w:val="13"/>
  </w:num>
  <w:num w:numId="40">
    <w:abstractNumId w:val="25"/>
  </w:num>
  <w:num w:numId="41">
    <w:abstractNumId w:val="22"/>
  </w:num>
  <w:num w:numId="42">
    <w:abstractNumId w:val="40"/>
  </w:num>
  <w:num w:numId="43">
    <w:abstractNumId w:val="23"/>
  </w:num>
  <w:num w:numId="44">
    <w:abstractNumId w:val="3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53"/>
    <w:rsid w:val="003457F1"/>
    <w:rsid w:val="00561029"/>
    <w:rsid w:val="007F4930"/>
    <w:rsid w:val="00C52205"/>
    <w:rsid w:val="00CF722A"/>
    <w:rsid w:val="00D7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ITC Officina Sans Book" w:hAnsi="ITC Officina Sans Book"/>
      <w:bCs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 w:cs="Arial"/>
      <w:b/>
      <w:bCs w:val="0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left="639" w:hanging="639"/>
      <w:jc w:val="both"/>
      <w:outlineLvl w:val="1"/>
    </w:pPr>
    <w:rPr>
      <w:rFonts w:ascii="Arial" w:hAnsi="Arial" w:cs="Arial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center"/>
      <w:outlineLvl w:val="2"/>
    </w:pPr>
    <w:rPr>
      <w:rFonts w:ascii="Arial" w:hAnsi="Arial" w:cs="Arial"/>
      <w:b/>
      <w:bCs w:val="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keepNext/>
      <w:keepLines/>
      <w:suppressAutoHyphens/>
      <w:jc w:val="both"/>
    </w:pPr>
    <w:rPr>
      <w:sz w:val="18"/>
      <w:szCs w:val="20"/>
    </w:rPr>
  </w:style>
  <w:style w:type="character" w:styleId="Funotenzeichen">
    <w:name w:val="footnote reference"/>
    <w:basedOn w:val="Absatz-Standardschriftart"/>
    <w:semiHidden/>
    <w:rPr>
      <w:rFonts w:ascii="ITC Officina Sans Book" w:hAnsi="ITC Officina Sans Book"/>
      <w:iCs/>
      <w:dstrike w:val="0"/>
      <w:sz w:val="18"/>
      <w:vertAlign w:val="superscript"/>
    </w:rPr>
  </w:style>
  <w:style w:type="paragraph" w:customStyle="1" w:styleId="Beispieltext">
    <w:name w:val="Beispieltext"/>
    <w:basedOn w:val="Standard"/>
    <w:pPr>
      <w:keepNext/>
      <w:tabs>
        <w:tab w:val="left" w:pos="142"/>
        <w:tab w:val="left" w:pos="851"/>
        <w:tab w:val="right" w:pos="5103"/>
        <w:tab w:val="right" w:pos="6804"/>
        <w:tab w:val="right" w:pos="9072"/>
      </w:tabs>
      <w:spacing w:line="360" w:lineRule="auto"/>
    </w:pPr>
    <w:rPr>
      <w:bCs w:val="0"/>
      <w:sz w:val="18"/>
      <w:szCs w:val="20"/>
    </w:rPr>
  </w:style>
  <w:style w:type="character" w:styleId="Hyperlink">
    <w:name w:val="Hyperlink"/>
    <w:basedOn w:val="Absatz-Standardschriftart"/>
    <w:semiHidden/>
    <w:rPr>
      <w:color w:val="0000FF"/>
      <w:u w:val="none"/>
    </w:rPr>
  </w:style>
  <w:style w:type="character" w:styleId="Endnotenzeichen">
    <w:name w:val="endnote reference"/>
    <w:basedOn w:val="Absatz-Standardschriftart"/>
    <w:semiHidden/>
    <w:rPr>
      <w:rFonts w:ascii="ITC Officina Sans Book" w:hAnsi="ITC Officina Sans Book"/>
      <w:b/>
      <w:color w:val="FF0000"/>
      <w:vertAlign w:val="superscript"/>
    </w:rPr>
  </w:style>
  <w:style w:type="paragraph" w:customStyle="1" w:styleId="Brieftext">
    <w:name w:val="Brieftext"/>
    <w:basedOn w:val="Standard"/>
    <w:pPr>
      <w:spacing w:line="360" w:lineRule="auto"/>
      <w:jc w:val="both"/>
    </w:pPr>
    <w:rPr>
      <w:rFonts w:ascii="ITC Officina Serif Book" w:hAnsi="ITC Officina Serif Book"/>
      <w:bCs w:val="0"/>
      <w:szCs w:val="20"/>
    </w:rPr>
  </w:style>
  <w:style w:type="paragraph" w:styleId="Textkrper-Zeileneinzug">
    <w:name w:val="Body Text Indent"/>
    <w:basedOn w:val="Standard"/>
    <w:semiHidden/>
    <w:pPr>
      <w:keepNext/>
      <w:spacing w:line="360" w:lineRule="auto"/>
      <w:ind w:left="641" w:hanging="641"/>
      <w:jc w:val="both"/>
    </w:pPr>
    <w:rPr>
      <w:rFonts w:ascii="Arial" w:hAnsi="Arial" w:cs="Arial"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ITC Officina Sans Book" w:hAnsi="ITC Officina Sans Book"/>
      <w:bCs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 w:cs="Arial"/>
      <w:b/>
      <w:bCs w:val="0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left="639" w:hanging="639"/>
      <w:jc w:val="both"/>
      <w:outlineLvl w:val="1"/>
    </w:pPr>
    <w:rPr>
      <w:rFonts w:ascii="Arial" w:hAnsi="Arial" w:cs="Arial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center"/>
      <w:outlineLvl w:val="2"/>
    </w:pPr>
    <w:rPr>
      <w:rFonts w:ascii="Arial" w:hAnsi="Arial" w:cs="Arial"/>
      <w:b/>
      <w:bCs w:val="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keepNext/>
      <w:keepLines/>
      <w:suppressAutoHyphens/>
      <w:jc w:val="both"/>
    </w:pPr>
    <w:rPr>
      <w:sz w:val="18"/>
      <w:szCs w:val="20"/>
    </w:rPr>
  </w:style>
  <w:style w:type="character" w:styleId="Funotenzeichen">
    <w:name w:val="footnote reference"/>
    <w:basedOn w:val="Absatz-Standardschriftart"/>
    <w:semiHidden/>
    <w:rPr>
      <w:rFonts w:ascii="ITC Officina Sans Book" w:hAnsi="ITC Officina Sans Book"/>
      <w:iCs/>
      <w:dstrike w:val="0"/>
      <w:sz w:val="18"/>
      <w:vertAlign w:val="superscript"/>
    </w:rPr>
  </w:style>
  <w:style w:type="paragraph" w:customStyle="1" w:styleId="Beispieltext">
    <w:name w:val="Beispieltext"/>
    <w:basedOn w:val="Standard"/>
    <w:pPr>
      <w:keepNext/>
      <w:tabs>
        <w:tab w:val="left" w:pos="142"/>
        <w:tab w:val="left" w:pos="851"/>
        <w:tab w:val="right" w:pos="5103"/>
        <w:tab w:val="right" w:pos="6804"/>
        <w:tab w:val="right" w:pos="9072"/>
      </w:tabs>
      <w:spacing w:line="360" w:lineRule="auto"/>
    </w:pPr>
    <w:rPr>
      <w:bCs w:val="0"/>
      <w:sz w:val="18"/>
      <w:szCs w:val="20"/>
    </w:rPr>
  </w:style>
  <w:style w:type="character" w:styleId="Hyperlink">
    <w:name w:val="Hyperlink"/>
    <w:basedOn w:val="Absatz-Standardschriftart"/>
    <w:semiHidden/>
    <w:rPr>
      <w:color w:val="0000FF"/>
      <w:u w:val="none"/>
    </w:rPr>
  </w:style>
  <w:style w:type="character" w:styleId="Endnotenzeichen">
    <w:name w:val="endnote reference"/>
    <w:basedOn w:val="Absatz-Standardschriftart"/>
    <w:semiHidden/>
    <w:rPr>
      <w:rFonts w:ascii="ITC Officina Sans Book" w:hAnsi="ITC Officina Sans Book"/>
      <w:b/>
      <w:color w:val="FF0000"/>
      <w:vertAlign w:val="superscript"/>
    </w:rPr>
  </w:style>
  <w:style w:type="paragraph" w:customStyle="1" w:styleId="Brieftext">
    <w:name w:val="Brieftext"/>
    <w:basedOn w:val="Standard"/>
    <w:pPr>
      <w:spacing w:line="360" w:lineRule="auto"/>
      <w:jc w:val="both"/>
    </w:pPr>
    <w:rPr>
      <w:rFonts w:ascii="ITC Officina Serif Book" w:hAnsi="ITC Officina Serif Book"/>
      <w:bCs w:val="0"/>
      <w:szCs w:val="20"/>
    </w:rPr>
  </w:style>
  <w:style w:type="paragraph" w:styleId="Textkrper-Zeileneinzug">
    <w:name w:val="Body Text Indent"/>
    <w:basedOn w:val="Standard"/>
    <w:semiHidden/>
    <w:pPr>
      <w:keepNext/>
      <w:spacing w:line="360" w:lineRule="auto"/>
      <w:ind w:left="641" w:hanging="641"/>
      <w:jc w:val="both"/>
    </w:pPr>
    <w:rPr>
      <w:rFonts w:ascii="Arial" w:hAnsi="Arial" w:cs="Arial"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1931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Werkvertrag Produktdesign (Blankoformular)</vt:lpstr>
    </vt:vector>
  </TitlesOfParts>
  <Company>Pyramide Verlag</Company>
  <LinksUpToDate>false</LinksUpToDate>
  <CharactersWithSpaces>14069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Werkvertrag Produktdesign (Blankoformular)</dc:title>
  <dc:subject/>
  <dc:creator>Sabine Zentek</dc:creator>
  <cp:keywords/>
  <dc:description/>
  <cp:lastModifiedBy>Georg K. Rink</cp:lastModifiedBy>
  <cp:revision>3</cp:revision>
  <dcterms:created xsi:type="dcterms:W3CDTF">2012-10-10T11:57:00Z</dcterms:created>
  <dcterms:modified xsi:type="dcterms:W3CDTF">2012-10-10T12:01:00Z</dcterms:modified>
</cp:coreProperties>
</file>